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proofErr w:type="gramStart"/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</w:t>
            </w:r>
            <w:proofErr w:type="gramEnd"/>
            <w:r>
              <w:rPr>
                <w:rFonts w:ascii="Arial" w:hAnsi="Arial"/>
                <w:sz w:val="16"/>
              </w:rPr>
              <w:t>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D84F11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7B6B6254" w14:textId="6E6A507B" w:rsidR="00E32580" w:rsidRDefault="00074B29" w:rsidP="00074B29">
      <w:pPr>
        <w:jc w:val="center"/>
      </w:pPr>
      <w:r>
        <w:t>October 1, 2020</w:t>
      </w:r>
    </w:p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3BDFE66B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 xml:space="preserve">During the prehearing conference held on January 23, 2019, parties requested to defer the adoption of a procedural schedule in order to discuss a resolution of this case. </w:t>
      </w:r>
      <w:r w:rsidR="00651D1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The parties further agreed to provide monthly status reports on resolution.</w:t>
      </w:r>
      <w:r w:rsidR="00651D1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 In SOAH Order No. 2 memorializing the prehearing conference, parties were ordered to provide a status report by February 28, 2019 and the last day of each month thereafter until further ordered. </w:t>
      </w:r>
      <w:r w:rsidR="00651D15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The parties have continued discussion</w:t>
      </w:r>
      <w:r w:rsidR="007B06AE">
        <w:rPr>
          <w:rFonts w:eastAsia="Calibri"/>
          <w:sz w:val="22"/>
          <w:szCs w:val="22"/>
        </w:rPr>
        <w:t>s</w:t>
      </w:r>
      <w:r>
        <w:rPr>
          <w:rFonts w:eastAsia="Calibri"/>
          <w:sz w:val="22"/>
          <w:szCs w:val="22"/>
        </w:rPr>
        <w:t xml:space="preserve"> during </w:t>
      </w:r>
      <w:r w:rsidR="00D10FCF">
        <w:rPr>
          <w:rFonts w:eastAsia="Calibri"/>
          <w:sz w:val="22"/>
          <w:szCs w:val="22"/>
        </w:rPr>
        <w:t>September</w:t>
      </w:r>
      <w:r>
        <w:rPr>
          <w:rFonts w:eastAsia="Calibri"/>
          <w:sz w:val="22"/>
          <w:szCs w:val="22"/>
        </w:rPr>
        <w:t xml:space="preserve"> with respect to the design of ETI’s Customer Engagement Portal and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A306A" w14:textId="77777777" w:rsidR="00B572B4" w:rsidRDefault="00B572B4" w:rsidP="00F95F08">
      <w:r>
        <w:separator/>
      </w:r>
    </w:p>
  </w:endnote>
  <w:endnote w:type="continuationSeparator" w:id="0">
    <w:p w14:paraId="7B441144" w14:textId="77777777" w:rsidR="00B572B4" w:rsidRDefault="00B572B4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E89F1" w14:textId="77777777" w:rsidR="00B572B4" w:rsidRDefault="00B572B4" w:rsidP="00F95F08">
      <w:r>
        <w:separator/>
      </w:r>
    </w:p>
  </w:footnote>
  <w:footnote w:type="continuationSeparator" w:id="0">
    <w:p w14:paraId="00B9AA0A" w14:textId="77777777" w:rsidR="00B572B4" w:rsidRDefault="00B572B4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FD"/>
    <w:rsid w:val="00074B29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3306C5"/>
    <w:rsid w:val="00334EBC"/>
    <w:rsid w:val="003D1303"/>
    <w:rsid w:val="004571F3"/>
    <w:rsid w:val="00532515"/>
    <w:rsid w:val="00574318"/>
    <w:rsid w:val="00593ED6"/>
    <w:rsid w:val="005D1E4E"/>
    <w:rsid w:val="00606D8D"/>
    <w:rsid w:val="00620A5A"/>
    <w:rsid w:val="00651D15"/>
    <w:rsid w:val="006668C9"/>
    <w:rsid w:val="007846FD"/>
    <w:rsid w:val="007B06AE"/>
    <w:rsid w:val="007B19F1"/>
    <w:rsid w:val="007B4A33"/>
    <w:rsid w:val="008E0D57"/>
    <w:rsid w:val="00954359"/>
    <w:rsid w:val="009871FF"/>
    <w:rsid w:val="00AE0E2B"/>
    <w:rsid w:val="00AF0154"/>
    <w:rsid w:val="00AF6550"/>
    <w:rsid w:val="00B35F2F"/>
    <w:rsid w:val="00B572B4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84F11"/>
    <w:rsid w:val="00DA5DAA"/>
    <w:rsid w:val="00DD1B4C"/>
    <w:rsid w:val="00DD6A7A"/>
    <w:rsid w:val="00DD6F1B"/>
    <w:rsid w:val="00E32580"/>
    <w:rsid w:val="00E4601B"/>
    <w:rsid w:val="00EA2C1F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2020-09-23T20:23:00Z</dcterms:created>
  <dcterms:modified xsi:type="dcterms:W3CDTF">2020-09-30T14:48:00Z</dcterms:modified>
</cp:coreProperties>
</file>